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/>
      </w:pPr>
      <w:r>
        <w:rPr>
          <w:rFonts w:ascii="Consolas" w:cs="Consolas" w:eastAsia="Consolas" w:hAnsi="Consolas"/>
          <w:b/>
          <w:bCs/>
          <w:color w:val="B45309"/>
          <w:spacing w:val="80"/>
          <w:sz w:val="16"/>
          <w:szCs w:val="16"/>
        </w:rPr>
        <w:t xml:space="preserve">ENGLAND · SI 2026/571 · FROM 23 JUNE 2026 · FREE TO SHARE</w:t>
      </w:r>
    </w:p>
    <w:p>
      <w:pPr>
        <w:pStyle w:val="Heading1"/>
        <w:spacing w:after="120" w:before="240"/>
      </w:pPr>
      <w:r>
        <w:rPr>
          <w:rFonts w:ascii="Georgia" w:cs="Georgia" w:eastAsia="Georgia" w:hAnsi="Georgia"/>
          <w:b/>
          <w:bCs/>
          <w:color w:val="0F2E4A"/>
          <w:sz w:val="34"/>
          <w:szCs w:val="34"/>
        </w:rPr>
        <w:t xml:space="preserve">The 21 HHSRS Hazards at a Glance</w:t>
      </w:r>
    </w:p>
    <w:p>
      <w:pPr>
        <w:spacing w:after="100"/>
      </w:pPr>
      <w:r>
        <w:rPr>
          <w:color w:val="CCCCCC"/>
          <w:sz w:val="20"/>
          <w:szCs w:val="20"/>
        </w:rPr>
        <w:t xml:space="preserve"/>
      </w:r>
      <w:r>
        <w:rPr>
          <w:b/>
          <w:bCs/>
          <w:color w:val="0F2E4A"/>
          <w:sz w:val="20"/>
          <w:szCs w:val="20"/>
        </w:rPr>
        <w:t xml:space="preserve">What changed: </w:t>
      </w:r>
      <w:r>
        <w:rPr>
          <w:color w:val="1F2937"/>
          <w:sz w:val="20"/>
          <w:szCs w:val="20"/>
        </w:rPr>
        <w:t xml:space="preserve">29 hazards consolidated to 21; A–J bands replaced by High / Medium / Low</w:t>
      </w:r>
    </w:p>
    <w:p>
      <w:pPr>
        <w:spacing w:after="40"/>
      </w:pPr>
      <w:r>
        <w:rPr>
          <w:b w:val="false"/>
          <w:bCs w:val="false"/>
          <w:color w:val="1F2937"/>
          <w:sz w:val="18"/>
          <w:szCs w:val="18"/>
        </w:rPr>
        <w:t xml:space="preserve">From 23 June 2026, councils in England assess rented homes against 21 hazards under the reformed Housing Health and Safety Rating System. Records that still list 29 hazards or A to J bands no longer match what an inspector expects.</w:t>
      </w:r>
    </w:p>
    <w:p>
      <w:pPr>
        <w:spacing w:after="40" w:before="110"/>
      </w:pPr>
      <w:r>
        <w:rPr>
          <w:b/>
          <w:bCs/>
          <w:color w:val="0F2E4A"/>
          <w:sz w:val="19"/>
          <w:szCs w:val="19"/>
        </w:rPr>
        <w:t xml:space="preserve">Physiological requirements</w:t>
      </w:r>
    </w:p>
    <w:p>
      <w:pPr>
        <w:spacing w:after="40"/>
      </w:pPr>
      <w:r>
        <w:rPr>
          <w:b w:val="false"/>
          <w:bCs w:val="false"/>
          <w:color w:val="1F2937"/>
          <w:sz w:val="18"/>
          <w:szCs w:val="18"/>
        </w:rPr>
        <w:t xml:space="preserve">1. Damp and mould growth   2. Excess cold   3. Excess heat   4. Asbestos and manufactured mineral fibres</w:t>
      </w:r>
    </w:p>
    <w:p>
      <w:pPr>
        <w:spacing w:after="40"/>
      </w:pPr>
      <w:r>
        <w:rPr>
          <w:b w:val="false"/>
          <w:bCs w:val="false"/>
          <w:color w:val="1F2937"/>
          <w:sz w:val="18"/>
          <w:szCs w:val="18"/>
        </w:rPr>
        <w:t xml:space="preserve">5. Indoor air pollutants (CO, NO2, VOCs, uncombusted fuel gas, biocides)   6. Lead   7. Radiation</w:t>
      </w:r>
    </w:p>
    <w:p>
      <w:pPr>
        <w:spacing w:after="40" w:before="110"/>
      </w:pPr>
      <w:r>
        <w:rPr>
          <w:b/>
          <w:bCs/>
          <w:color w:val="0F2E4A"/>
          <w:sz w:val="19"/>
          <w:szCs w:val="19"/>
        </w:rPr>
        <w:t xml:space="preserve">Psychological requirements</w:t>
      </w:r>
    </w:p>
    <w:p>
      <w:pPr>
        <w:spacing w:after="40"/>
      </w:pPr>
      <w:r>
        <w:rPr>
          <w:b w:val="false"/>
          <w:bCs w:val="false"/>
          <w:color w:val="1F2937"/>
          <w:sz w:val="18"/>
          <w:szCs w:val="18"/>
        </w:rPr>
        <w:t xml:space="preserve">8. Crowding and space   9. Entry by intruders   10. Lighting   11. Noise</w:t>
      </w:r>
    </w:p>
    <w:p>
      <w:pPr>
        <w:spacing w:after="40" w:before="110"/>
      </w:pPr>
      <w:r>
        <w:rPr>
          <w:b/>
          <w:bCs/>
          <w:color w:val="0F2E4A"/>
          <w:sz w:val="19"/>
          <w:szCs w:val="19"/>
        </w:rPr>
        <w:t xml:space="preserve">Protection against infection</w:t>
      </w:r>
    </w:p>
    <w:p>
      <w:pPr>
        <w:spacing w:after="40"/>
      </w:pPr>
      <w:r>
        <w:rPr>
          <w:b w:val="false"/>
          <w:bCs w:val="false"/>
          <w:color w:val="1F2937"/>
          <w:sz w:val="18"/>
          <w:szCs w:val="18"/>
        </w:rPr>
        <w:t xml:space="preserve">12. Domestic hygiene, pests and refuse (incl. food safety, sanitation, drainage)   13. Water supply</w:t>
      </w:r>
    </w:p>
    <w:p>
      <w:pPr>
        <w:spacing w:after="40" w:before="110"/>
      </w:pPr>
      <w:r>
        <w:rPr>
          <w:b/>
          <w:bCs/>
          <w:color w:val="0F2E4A"/>
          <w:sz w:val="19"/>
          <w:szCs w:val="19"/>
        </w:rPr>
        <w:t xml:space="preserve">Protection against accidents</w:t>
      </w:r>
    </w:p>
    <w:p>
      <w:pPr>
        <w:spacing w:after="40"/>
      </w:pPr>
      <w:r>
        <w:rPr>
          <w:b w:val="false"/>
          <w:bCs w:val="false"/>
          <w:color w:val="1F2937"/>
          <w:sz w:val="18"/>
          <w:szCs w:val="18"/>
        </w:rPr>
        <w:t xml:space="preserve">14. Falls on the level   15. Falling on stairs and steps   16. Falling between levels   17. Electrical hazards</w:t>
      </w:r>
    </w:p>
    <w:p>
      <w:pPr>
        <w:spacing w:after="40"/>
      </w:pPr>
      <w:r>
        <w:rPr>
          <w:b w:val="false"/>
          <w:bCs w:val="false"/>
          <w:color w:val="1F2937"/>
          <w:sz w:val="18"/>
          <w:szCs w:val="18"/>
        </w:rPr>
        <w:t xml:space="preserve">18. Fire and explosions   19. Flames, hot surfaces and materials   20. Collisions, entrapment and ergonomics   21. Structural collapse and falling elements</w:t>
      </w:r>
    </w:p>
    <w:tbl>
      <w:tblPr>
        <w:tblW w:type="pct" w:w="100%"/>
        <w:tblBorders>
          <w:top w:val="single" w:color="B45309" w:sz="6"/>
          <w:left w:val="single" w:color="B45309" w:sz="6"/>
          <w:bottom w:val="single" w:color="B45309" w:sz="6"/>
          <w:right w:val="single" w:color="B45309" w:sz="6"/>
          <w:insideH w:val="none"/>
          <w:insideV w:val="none"/>
        </w:tblBorders>
      </w:tblPr>
      <w:tblGrid>
        <w:gridCol w:w="100"/>
      </w:tblGrid>
      <w:tr>
        <w:tc>
          <w:tcPr>
            <w:shd w:fill="FEF3C7"/>
            <w:tcMar>
              <w:top w:type="dxa" w:w="200"/>
              <w:left w:type="dxa" w:w="200"/>
              <w:bottom w:type="dxa" w:w="200"/>
              <w:right w:type="dxa" w:w="200"/>
            </w:tcMar>
          </w:tcPr>
          <w:p>
            <w:pPr>
              <w:spacing w:after="80"/>
            </w:pPr>
            <w:r>
              <w:rPr>
                <w:rFonts w:ascii="Consolas" w:cs="Consolas" w:eastAsia="Consolas" w:hAnsi="Consolas"/>
                <w:b/>
                <w:bCs/>
                <w:color w:val="B45309"/>
                <w:spacing w:val="80"/>
                <w:sz w:val="16"/>
                <w:szCs w:val="16"/>
              </w:rPr>
              <w:t xml:space="preserve">HOW RATINGS WORK</w:t>
            </w:r>
          </w:p>
          <w:p>
            <w:pPr>
              <w:spacing w:after="60"/>
            </w:pPr>
            <w:r>
              <w:rPr>
                <w:color w:val="1F2937"/>
                <w:sz w:val="20"/>
                <w:szCs w:val="20"/>
              </w:rPr>
              <w:t xml:space="preserve">High (H): serious risk, formerly Category 1. The council must take enforcement action, and can add a financial penalty of up to £7,000 under section 6A of the Housing Act 2004 when it does.</w:t>
            </w:r>
          </w:p>
          <w:p>
            <w:pPr>
              <w:spacing w:after="60"/>
            </w:pPr>
            <w:r>
              <w:rPr>
                <w:color w:val="1F2937"/>
                <w:sz w:val="20"/>
                <w:szCs w:val="20"/>
              </w:rPr>
              <w:t xml:space="preserve">Medium (M): the council may act, at its discretion.  Low (L): minor, rarely enforced.</w:t>
            </w:r>
          </w:p>
        </w:tc>
      </w:tr>
    </w:tbl>
    <w:p>
      <w:pPr>
        <w:spacing w:after="60" w:before="120"/>
      </w:pPr>
      <w:r>
        <w:rPr>
          <w:b/>
          <w:bCs/>
          <w:color w:val="0F2E4A"/>
          <w:sz w:val="18"/>
          <w:szCs w:val="18"/>
        </w:rPr>
        <w:t xml:space="preserve">Keep a dated record: </w:t>
      </w:r>
      <w:r>
        <w:rPr>
          <w:color w:val="1F2937"/>
          <w:sz w:val="18"/>
          <w:szCs w:val="18"/>
        </w:rPr>
        <w:t xml:space="preserve">the HHSRS Self-Assessment (LS-E-034, £19) walks every hazard with a High/Medium/Low rating and an action plan — letsafeuk.co.uk/shop/hhsrs-self-assessment</w:t>
      </w:r>
    </w:p>
    <w:p>
      <w:pPr>
        <w:spacing w:after="40"/>
      </w:pPr>
      <w:r>
        <w:rPr>
          <w:color w:val="B45309"/>
          <w:sz w:val="17"/>
          <w:szCs w:val="17"/>
        </w:rPr>
        <w:t xml:space="preserve">Full guide: letsafeuk.co.uk/guides/hhsrs-landlord-si-2026-571</w:t>
      </w:r>
    </w:p>
    <w:p>
      <w:pPr>
        <w:spacing w:before="60"/>
      </w:pPr>
      <w:r>
        <w:rPr>
          <w:i/>
          <w:iCs/>
          <w:color w:val="6B778C"/>
          <w:sz w:val="14"/>
          <w:szCs w:val="14"/>
        </w:rPr>
        <w:t xml:space="preserve">Self-help information, not legal advice. Based on the HHSRS (England) Regulations 2005 as amended by SI 2026/571. Contains public sector information licensed under OGL v3.0.</w:t>
      </w:r>
    </w:p>
    <w:p>
      <w:pPr>
        <w:spacing w:before="120"/>
      </w:pPr>
      <w:r>
        <w:rPr>
          <w:i/>
          <w:iCs/>
          <w:color w:val="999999"/>
          <w:sz w:val="16"/>
          <w:szCs w:val="16"/>
        </w:rPr>
        <w:t xml:space="preserve">Free resource · LS-E-F-001 · © LetSafe UK · letsafeuk.co.uk · share freely with attribution</w:t>
      </w:r>
    </w:p>
    <w:sectPr>
      <w:headerReference w:type="default" r:id="rId7"/>
      <w:footerReference w:type="default" r:id="rId8"/>
      <w:pgSz w:w="11906" w:h="16838" w:orient="portrait"/>
      <w:pgMar w:top="700" w:right="1000" w:bottom="70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r>
      <w:rPr>
        <w:rFonts w:ascii="Consolas" w:cs="Consolas" w:eastAsia="Consolas" w:hAnsi="Consolas"/>
        <w:color w:val="1F2937"/>
        <w:sz w:val="14"/>
        <w:szCs w:val="14"/>
      </w:rPr>
      <w:t xml:space="preserve">LS-E-F-001 · LetSafe UK · letsafeuk.co.uk · ©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rPr>
        <w:rFonts w:ascii="Consolas" w:cs="Consolas" w:eastAsia="Consolas" w:hAnsi="Consolas"/>
        <w:b/>
        <w:bCs/>
        <w:color w:val="0F2E4A"/>
        <w:spacing w:val="60"/>
        <w:sz w:val="16"/>
        <w:szCs w:val="16"/>
      </w:rPr>
      <w:t xml:space="preserve">LETSAFE UK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21 HHSRS Hazards at a Glance</dc:title>
  <dc:creator>LetSafe UK</dc:creator>
  <dc:description>Free one-page summary of the 21 HHSRS hazards from 23 June 2026 (SI 2026/571).</dc:description>
  <cp:lastModifiedBy>Un-named</cp:lastModifiedBy>
  <cp:revision>1</cp:revision>
  <dcterms:created xsi:type="dcterms:W3CDTF">2026-08-16T20:30:27.774Z</dcterms:created>
  <dcterms:modified xsi:type="dcterms:W3CDTF">2026-08-16T20:30:27.775Z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